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3C" w:rsidRPr="00DD3210" w:rsidRDefault="0040698A" w:rsidP="00766FC9">
      <w:pPr>
        <w:spacing w:after="0"/>
        <w:rPr>
          <w:rFonts w:ascii="Arial" w:hAnsi="Arial" w:cs="Arial"/>
          <w:b/>
          <w:color w:val="840E41"/>
          <w:sz w:val="24"/>
          <w:szCs w:val="24"/>
        </w:rPr>
      </w:pPr>
      <w:r>
        <w:rPr>
          <w:rFonts w:ascii="Arial" w:hAnsi="Arial" w:cs="Arial"/>
          <w:noProof/>
          <w:color w:val="767171" w:themeColor="background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4228620</wp:posOffset>
                </wp:positionH>
                <wp:positionV relativeFrom="margin">
                  <wp:posOffset>-614045</wp:posOffset>
                </wp:positionV>
                <wp:extent cx="2078355" cy="327660"/>
                <wp:effectExtent l="0" t="0" r="17145" b="15240"/>
                <wp:wrapTight wrapText="bothSides">
                  <wp:wrapPolygon edited="0">
                    <wp:start x="0" y="0"/>
                    <wp:lineTo x="0" y="21349"/>
                    <wp:lineTo x="21580" y="21349"/>
                    <wp:lineTo x="2158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5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D3210" w:rsidRPr="0040698A" w:rsidRDefault="00DD3210" w:rsidP="00DD3210">
                            <w:pPr>
                              <w:jc w:val="center"/>
                              <w:rPr>
                                <w:color w:val="7F3555"/>
                                <w:sz w:val="32"/>
                                <w:szCs w:val="32"/>
                              </w:rPr>
                            </w:pPr>
                            <w:r w:rsidRPr="0040698A">
                              <w:rPr>
                                <w:color w:val="7F3555"/>
                                <w:sz w:val="32"/>
                                <w:szCs w:val="32"/>
                              </w:rPr>
                              <w:t>COVERAGE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2.95pt;margin-top:-48.35pt;width:163.65pt;height:25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" filled="f" strokecolor="white [3212]" strokeweight=".5pt">
                <v:textbox>
                  <w:txbxContent>
                    <w:p w:rsidR="00DD3210" w:rsidRPr="0040698A" w:rsidRDefault="00DD3210" w:rsidP="00DD3210">
                      <w:pPr>
                        <w:jc w:val="center"/>
                        <w:rPr>
                          <w:color w:val="7F3555"/>
                          <w:sz w:val="32"/>
                          <w:szCs w:val="32"/>
                        </w:rPr>
                      </w:pPr>
                      <w:r w:rsidRPr="0040698A">
                        <w:rPr>
                          <w:color w:val="7F3555"/>
                          <w:sz w:val="32"/>
                          <w:szCs w:val="32"/>
                        </w:rPr>
                        <w:t>COVERAGE TEAM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537EB8" w:rsidRPr="00DD3210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4279900</wp:posOffset>
            </wp:positionH>
            <wp:positionV relativeFrom="margin">
              <wp:posOffset>-580545</wp:posOffset>
            </wp:positionV>
            <wp:extent cx="236855" cy="249555"/>
            <wp:effectExtent l="0" t="0" r="0" b="0"/>
            <wp:wrapTight wrapText="bothSides">
              <wp:wrapPolygon edited="0">
                <wp:start x="5212" y="0"/>
                <wp:lineTo x="0" y="3298"/>
                <wp:lineTo x="0" y="13191"/>
                <wp:lineTo x="1737" y="19786"/>
                <wp:lineTo x="17373" y="19786"/>
                <wp:lineTo x="19110" y="11542"/>
                <wp:lineTo x="19110" y="3298"/>
                <wp:lineTo x="15635" y="0"/>
                <wp:lineTo x="5212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9AB">
        <w:rPr>
          <w:rFonts w:ascii="Arial" w:hAnsi="Arial" w:cs="Arial"/>
          <w:b/>
          <w:noProof/>
          <w:color w:val="840E4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2167255</wp:posOffset>
                </wp:positionH>
                <wp:positionV relativeFrom="paragraph">
                  <wp:posOffset>-621665</wp:posOffset>
                </wp:positionV>
                <wp:extent cx="1863090" cy="335915"/>
                <wp:effectExtent l="0" t="0" r="2286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D3210" w:rsidRPr="00E119AB" w:rsidRDefault="00DD3210" w:rsidP="00DD3210">
                            <w:pPr>
                              <w:jc w:val="center"/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  <w:r w:rsidRPr="00E119AB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ACCESS TO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0.65pt;margin-top:-48.95pt;width:146.7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" filled="f" strokecolor="white [3212]" strokeweight=".5pt">
                <v:textbox>
                  <w:txbxContent>
                    <w:p w:rsidR="00DD3210" w:rsidRPr="00E119AB" w:rsidRDefault="00DD3210" w:rsidP="00DD3210">
                      <w:pPr>
                        <w:jc w:val="center"/>
                        <w:rPr>
                          <w:color w:val="767171" w:themeColor="background2" w:themeShade="80"/>
                          <w:sz w:val="32"/>
                          <w:szCs w:val="32"/>
                        </w:rPr>
                      </w:pPr>
                      <w:r w:rsidRPr="00E119AB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>ACCESS TO CARE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210" w:rsidRPr="000478FC">
        <w:rPr>
          <w:rFonts w:ascii="Arial" w:hAnsi="Arial" w:cs="Arial"/>
          <w:noProof/>
          <w:color w:val="767171" w:themeColor="background2" w:themeShade="8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-260062</wp:posOffset>
            </wp:positionV>
            <wp:extent cx="3674745" cy="123190"/>
            <wp:effectExtent l="0" t="0" r="190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210">
        <w:rPr>
          <w:rFonts w:ascii="Arial" w:hAnsi="Arial" w:cs="Arial"/>
          <w:noProof/>
          <w:color w:val="767171" w:themeColor="background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5006771</wp:posOffset>
                </wp:positionH>
                <wp:positionV relativeFrom="paragraph">
                  <wp:posOffset>-35620</wp:posOffset>
                </wp:positionV>
                <wp:extent cx="508959" cy="448574"/>
                <wp:effectExtent l="0" t="0" r="2476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9" cy="4485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D3210" w:rsidRDefault="00DD32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94.25pt;margin-top:-2.8pt;width:40.1pt;height: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" filled="f" strokecolor="white [3212]" strokeweight=".5pt">
                <v:textbox>
                  <w:txbxContent>
                    <w:p w:rsidR="00DD3210" w:rsidRDefault="00DD3210"/>
                  </w:txbxContent>
                </v:textbox>
              </v:shape>
            </w:pict>
          </mc:Fallback>
        </mc:AlternateContent>
      </w:r>
      <w:r w:rsidR="00DD3210" w:rsidRPr="000478FC">
        <w:rPr>
          <w:rFonts w:ascii="Arial" w:hAnsi="Arial" w:cs="Arial"/>
          <w:noProof/>
          <w:color w:val="767171" w:themeColor="background2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topMargin">
              <wp:posOffset>685800</wp:posOffset>
            </wp:positionV>
            <wp:extent cx="1837055" cy="285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83C" w:rsidRPr="00C23A90">
        <w:rPr>
          <w:rFonts w:ascii="Arial" w:hAnsi="Arial" w:cs="Arial"/>
          <w:b/>
          <w:color w:val="840E41"/>
          <w:sz w:val="28"/>
          <w:szCs w:val="28"/>
        </w:rPr>
        <w:t>Who can get help?</w:t>
      </w:r>
    </w:p>
    <w:p w:rsidR="0082283C" w:rsidRPr="000478FC" w:rsidRDefault="0082283C" w:rsidP="00C23A90">
      <w:pPr>
        <w:spacing w:after="0" w:line="240" w:lineRule="auto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 xml:space="preserve">Anyone who would like assistance applying for </w:t>
      </w:r>
      <w:proofErr w:type="spellStart"/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>MaineCare</w:t>
      </w:r>
      <w:proofErr w:type="spellEnd"/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or the Health Insurance Marketplace. </w:t>
      </w:r>
    </w:p>
    <w:p w:rsidR="004061F8" w:rsidRPr="000478FC" w:rsidRDefault="004061F8" w:rsidP="00C23A90">
      <w:pPr>
        <w:spacing w:after="0" w:line="240" w:lineRule="auto"/>
        <w:rPr>
          <w:rFonts w:ascii="Arial" w:hAnsi="Arial" w:cs="Arial"/>
          <w:color w:val="767171" w:themeColor="background2" w:themeShade="80"/>
          <w:sz w:val="16"/>
          <w:szCs w:val="16"/>
        </w:rPr>
      </w:pPr>
    </w:p>
    <w:p w:rsidR="0082283C" w:rsidRPr="00C23A90" w:rsidRDefault="0082283C" w:rsidP="00C23A90">
      <w:pPr>
        <w:spacing w:after="0" w:line="240" w:lineRule="auto"/>
        <w:rPr>
          <w:rFonts w:ascii="Arial" w:hAnsi="Arial" w:cs="Arial"/>
          <w:b/>
          <w:color w:val="840E41"/>
          <w:sz w:val="28"/>
          <w:szCs w:val="28"/>
        </w:rPr>
      </w:pPr>
      <w:proofErr w:type="spellStart"/>
      <w:r w:rsidRPr="00C23A90">
        <w:rPr>
          <w:rFonts w:ascii="Arial" w:hAnsi="Arial" w:cs="Arial"/>
          <w:b/>
          <w:color w:val="840E41"/>
          <w:sz w:val="28"/>
          <w:szCs w:val="28"/>
        </w:rPr>
        <w:t>MaineCare</w:t>
      </w:r>
      <w:proofErr w:type="spellEnd"/>
      <w:r w:rsidRPr="00C23A90">
        <w:rPr>
          <w:rFonts w:ascii="Arial" w:hAnsi="Arial" w:cs="Arial"/>
          <w:b/>
          <w:color w:val="840E41"/>
          <w:sz w:val="28"/>
          <w:szCs w:val="28"/>
        </w:rPr>
        <w:t xml:space="preserve"> Expansion is here!</w:t>
      </w:r>
    </w:p>
    <w:p w:rsidR="000855EC" w:rsidRPr="000855EC" w:rsidRDefault="000855EC" w:rsidP="00C23A90">
      <w:pPr>
        <w:spacing w:after="0" w:line="240" w:lineRule="auto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0855EC">
        <w:rPr>
          <w:rFonts w:ascii="Arial" w:hAnsi="Arial" w:cs="Arial"/>
          <w:color w:val="767171" w:themeColor="background2" w:themeShade="80"/>
          <w:sz w:val="24"/>
          <w:szCs w:val="24"/>
        </w:rPr>
        <w:t xml:space="preserve">Anyone whose income is less than the limit for family size may be eligible for </w:t>
      </w:r>
      <w:proofErr w:type="spellStart"/>
      <w:r w:rsidRPr="000855EC">
        <w:rPr>
          <w:rFonts w:ascii="Arial" w:hAnsi="Arial" w:cs="Arial"/>
          <w:color w:val="767171" w:themeColor="background2" w:themeShade="80"/>
          <w:sz w:val="24"/>
          <w:szCs w:val="24"/>
        </w:rPr>
        <w:t>MaineCare</w:t>
      </w:r>
      <w:proofErr w:type="spellEnd"/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 as of July 2018</w:t>
      </w:r>
      <w:r w:rsidRPr="000855EC">
        <w:rPr>
          <w:rFonts w:ascii="Arial" w:hAnsi="Arial" w:cs="Arial"/>
          <w:color w:val="767171" w:themeColor="background2" w:themeShade="80"/>
          <w:sz w:val="24"/>
          <w:szCs w:val="24"/>
        </w:rPr>
        <w:t>:</w:t>
      </w:r>
    </w:p>
    <w:tbl>
      <w:tblPr>
        <w:tblStyle w:val="TableGrid"/>
        <w:tblW w:w="0" w:type="auto"/>
        <w:tblInd w:w="3775" w:type="dxa"/>
        <w:tblLook w:val="04A0" w:firstRow="1" w:lastRow="0" w:firstColumn="1" w:lastColumn="0" w:noHBand="0" w:noVBand="1"/>
      </w:tblPr>
      <w:tblGrid>
        <w:gridCol w:w="1476"/>
        <w:gridCol w:w="2934"/>
      </w:tblGrid>
      <w:tr w:rsidR="000855EC" w:rsidTr="000855EC">
        <w:tc>
          <w:tcPr>
            <w:tcW w:w="1476" w:type="dxa"/>
          </w:tcPr>
          <w:p w:rsidR="000855EC" w:rsidRPr="000855EC" w:rsidRDefault="000855EC" w:rsidP="00C23A90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0855EC">
              <w:rPr>
                <w:rFonts w:ascii="Arial" w:hAnsi="Arial" w:cs="Arial"/>
                <w:b/>
                <w:color w:val="767171" w:themeColor="background2" w:themeShade="80"/>
              </w:rPr>
              <w:t>Family Size</w:t>
            </w:r>
          </w:p>
        </w:tc>
        <w:tc>
          <w:tcPr>
            <w:tcW w:w="2934" w:type="dxa"/>
          </w:tcPr>
          <w:p w:rsidR="000855EC" w:rsidRPr="000855EC" w:rsidRDefault="000855EC" w:rsidP="00C23A90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0855EC">
              <w:rPr>
                <w:rFonts w:ascii="Arial" w:hAnsi="Arial" w:cs="Arial"/>
                <w:b/>
                <w:color w:val="767171" w:themeColor="background2" w:themeShade="80"/>
              </w:rPr>
              <w:t xml:space="preserve">Expanded </w:t>
            </w:r>
            <w:proofErr w:type="spellStart"/>
            <w:r w:rsidRPr="000855EC">
              <w:rPr>
                <w:rFonts w:ascii="Arial" w:hAnsi="Arial" w:cs="Arial"/>
                <w:b/>
                <w:color w:val="767171" w:themeColor="background2" w:themeShade="80"/>
              </w:rPr>
              <w:t>MaineCare</w:t>
            </w:r>
            <w:proofErr w:type="spellEnd"/>
            <w:r w:rsidRPr="000855EC">
              <w:rPr>
                <w:rFonts w:ascii="Arial" w:hAnsi="Arial" w:cs="Arial"/>
                <w:b/>
                <w:color w:val="767171" w:themeColor="background2" w:themeShade="80"/>
              </w:rPr>
              <w:t xml:space="preserve"> Monthly Income Limits</w:t>
            </w:r>
          </w:p>
        </w:tc>
      </w:tr>
      <w:tr w:rsidR="000855EC" w:rsidTr="000855EC">
        <w:tc>
          <w:tcPr>
            <w:tcW w:w="1476" w:type="dxa"/>
          </w:tcPr>
          <w:p w:rsidR="000855EC" w:rsidRDefault="000855EC" w:rsidP="00C23A90">
            <w:pPr>
              <w:rPr>
                <w:rFonts w:ascii="Arial" w:hAnsi="Arial" w:cs="Arial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0855EC" w:rsidRDefault="000855EC" w:rsidP="000855EC">
            <w:pPr>
              <w:jc w:val="center"/>
              <w:rPr>
                <w:rFonts w:ascii="Arial" w:hAnsi="Arial" w:cs="Arial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  <w:sz w:val="24"/>
                <w:szCs w:val="24"/>
              </w:rPr>
              <w:t>$1,397</w:t>
            </w:r>
          </w:p>
        </w:tc>
      </w:tr>
      <w:tr w:rsidR="000855EC" w:rsidTr="000855EC">
        <w:tc>
          <w:tcPr>
            <w:tcW w:w="1476" w:type="dxa"/>
          </w:tcPr>
          <w:p w:rsidR="000855EC" w:rsidRDefault="000855EC" w:rsidP="00C23A90">
            <w:pPr>
              <w:rPr>
                <w:rFonts w:ascii="Arial" w:hAnsi="Arial" w:cs="Arial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0855EC" w:rsidRDefault="000855EC" w:rsidP="000855EC">
            <w:pPr>
              <w:jc w:val="center"/>
              <w:rPr>
                <w:rFonts w:ascii="Arial" w:hAnsi="Arial" w:cs="Arial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  <w:sz w:val="24"/>
                <w:szCs w:val="24"/>
              </w:rPr>
              <w:t>$1,893</w:t>
            </w:r>
          </w:p>
        </w:tc>
      </w:tr>
      <w:tr w:rsidR="000855EC" w:rsidTr="000855EC">
        <w:tc>
          <w:tcPr>
            <w:tcW w:w="1476" w:type="dxa"/>
          </w:tcPr>
          <w:p w:rsidR="000855EC" w:rsidRDefault="000855EC" w:rsidP="00C23A90">
            <w:pPr>
              <w:rPr>
                <w:rFonts w:ascii="Arial" w:hAnsi="Arial" w:cs="Arial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0855EC" w:rsidRDefault="000855EC" w:rsidP="000855EC">
            <w:pPr>
              <w:jc w:val="center"/>
              <w:rPr>
                <w:rFonts w:ascii="Arial" w:hAnsi="Arial" w:cs="Arial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  <w:sz w:val="24"/>
                <w:szCs w:val="24"/>
              </w:rPr>
              <w:t>$2,390</w:t>
            </w:r>
          </w:p>
        </w:tc>
      </w:tr>
      <w:tr w:rsidR="000855EC" w:rsidTr="000855EC">
        <w:tc>
          <w:tcPr>
            <w:tcW w:w="1476" w:type="dxa"/>
          </w:tcPr>
          <w:p w:rsidR="000855EC" w:rsidRPr="000855EC" w:rsidRDefault="000855EC" w:rsidP="00C23A90">
            <w:pPr>
              <w:rPr>
                <w:rFonts w:ascii="Arial" w:hAnsi="Arial" w:cs="Arial"/>
                <w:b/>
                <w:color w:val="767171" w:themeColor="background2" w:themeShade="80"/>
                <w:sz w:val="18"/>
                <w:szCs w:val="18"/>
              </w:rPr>
            </w:pPr>
            <w:r w:rsidRPr="000855EC">
              <w:rPr>
                <w:rFonts w:ascii="Arial" w:hAnsi="Arial" w:cs="Arial"/>
                <w:b/>
                <w:color w:val="767171" w:themeColor="background2" w:themeShade="80"/>
                <w:sz w:val="18"/>
                <w:szCs w:val="18"/>
              </w:rPr>
              <w:t>Add for each extra person</w:t>
            </w:r>
          </w:p>
        </w:tc>
        <w:tc>
          <w:tcPr>
            <w:tcW w:w="2934" w:type="dxa"/>
          </w:tcPr>
          <w:p w:rsidR="000855EC" w:rsidRDefault="000855EC" w:rsidP="000855EC">
            <w:pPr>
              <w:jc w:val="center"/>
              <w:rPr>
                <w:rFonts w:ascii="Arial" w:hAnsi="Arial" w:cs="Arial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  <w:sz w:val="24"/>
                <w:szCs w:val="24"/>
              </w:rPr>
              <w:t>$497</w:t>
            </w:r>
          </w:p>
        </w:tc>
      </w:tr>
    </w:tbl>
    <w:p w:rsidR="000855EC" w:rsidRDefault="000855EC" w:rsidP="00C23A90">
      <w:pPr>
        <w:spacing w:after="0" w:line="240" w:lineRule="auto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:rsidR="0082283C" w:rsidRPr="00766FC9" w:rsidRDefault="000855EC" w:rsidP="00C23A9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66FC9">
        <w:rPr>
          <w:rFonts w:ascii="Arial" w:hAnsi="Arial" w:cs="Arial"/>
          <w:b/>
          <w:i/>
          <w:sz w:val="24"/>
          <w:szCs w:val="24"/>
        </w:rPr>
        <w:t xml:space="preserve">Children, pregnant women, and adults under 21 can get </w:t>
      </w:r>
      <w:proofErr w:type="spellStart"/>
      <w:r w:rsidR="0082283C" w:rsidRPr="00766FC9">
        <w:rPr>
          <w:rFonts w:ascii="Arial" w:hAnsi="Arial" w:cs="Arial"/>
          <w:b/>
          <w:i/>
          <w:sz w:val="24"/>
          <w:szCs w:val="24"/>
        </w:rPr>
        <w:t>MaineCare</w:t>
      </w:r>
      <w:proofErr w:type="spellEnd"/>
      <w:r w:rsidR="0082283C" w:rsidRPr="00766FC9">
        <w:rPr>
          <w:rFonts w:ascii="Arial" w:hAnsi="Arial" w:cs="Arial"/>
          <w:b/>
          <w:i/>
          <w:sz w:val="24"/>
          <w:szCs w:val="24"/>
        </w:rPr>
        <w:t xml:space="preserve"> </w:t>
      </w:r>
      <w:r w:rsidRPr="00766FC9">
        <w:rPr>
          <w:rFonts w:ascii="Arial" w:hAnsi="Arial" w:cs="Arial"/>
          <w:b/>
          <w:i/>
          <w:sz w:val="24"/>
          <w:szCs w:val="24"/>
        </w:rPr>
        <w:t>with much higher incomes than the amounts in the table.</w:t>
      </w:r>
    </w:p>
    <w:p w:rsidR="0082283C" w:rsidRPr="00766FC9" w:rsidRDefault="0082283C" w:rsidP="00C23A90">
      <w:pPr>
        <w:spacing w:after="0" w:line="240" w:lineRule="auto"/>
        <w:rPr>
          <w:rFonts w:ascii="Arial" w:hAnsi="Arial" w:cs="Arial"/>
          <w:color w:val="767171" w:themeColor="background2" w:themeShade="80"/>
          <w:sz w:val="16"/>
          <w:szCs w:val="16"/>
        </w:rPr>
      </w:pPr>
    </w:p>
    <w:p w:rsidR="00C23A90" w:rsidRDefault="0082283C" w:rsidP="00C23A90">
      <w:pPr>
        <w:spacing w:after="0" w:line="240" w:lineRule="auto"/>
        <w:rPr>
          <w:rFonts w:ascii="Arial" w:hAnsi="Arial" w:cs="Arial"/>
          <w:b/>
          <w:color w:val="840E41"/>
          <w:sz w:val="28"/>
          <w:szCs w:val="28"/>
        </w:rPr>
      </w:pPr>
      <w:r w:rsidRPr="00C23A90">
        <w:rPr>
          <w:rFonts w:ascii="Arial" w:hAnsi="Arial" w:cs="Arial"/>
          <w:b/>
          <w:color w:val="840E41"/>
          <w:sz w:val="28"/>
          <w:szCs w:val="28"/>
        </w:rPr>
        <w:t xml:space="preserve">We </w:t>
      </w:r>
      <w:r w:rsidR="000855EC">
        <w:rPr>
          <w:rFonts w:ascii="Arial" w:hAnsi="Arial" w:cs="Arial"/>
          <w:b/>
          <w:color w:val="840E41"/>
          <w:sz w:val="28"/>
          <w:szCs w:val="28"/>
        </w:rPr>
        <w:t xml:space="preserve">also </w:t>
      </w:r>
      <w:r w:rsidRPr="00C23A90">
        <w:rPr>
          <w:rFonts w:ascii="Arial" w:hAnsi="Arial" w:cs="Arial"/>
          <w:b/>
          <w:color w:val="840E41"/>
          <w:sz w:val="28"/>
          <w:szCs w:val="28"/>
        </w:rPr>
        <w:t>help patients apply for limited and under</w:t>
      </w:r>
      <w:r w:rsidR="00891BDF">
        <w:rPr>
          <w:rFonts w:ascii="Arial" w:hAnsi="Arial" w:cs="Arial"/>
          <w:b/>
          <w:color w:val="840E41"/>
          <w:sz w:val="28"/>
          <w:szCs w:val="28"/>
        </w:rPr>
        <w:t>-</w:t>
      </w:r>
      <w:r w:rsidRPr="00C23A90">
        <w:rPr>
          <w:rFonts w:ascii="Arial" w:hAnsi="Arial" w:cs="Arial"/>
          <w:b/>
          <w:color w:val="840E41"/>
          <w:sz w:val="28"/>
          <w:szCs w:val="28"/>
        </w:rPr>
        <w:t xml:space="preserve">utilized </w:t>
      </w:r>
      <w:proofErr w:type="spellStart"/>
      <w:r w:rsidRPr="00C23A90">
        <w:rPr>
          <w:rFonts w:ascii="Arial" w:hAnsi="Arial" w:cs="Arial"/>
          <w:b/>
          <w:color w:val="840E41"/>
          <w:sz w:val="28"/>
          <w:szCs w:val="28"/>
        </w:rPr>
        <w:t>MaineCare</w:t>
      </w:r>
      <w:proofErr w:type="spellEnd"/>
      <w:r w:rsidRPr="00C23A90">
        <w:rPr>
          <w:rFonts w:ascii="Arial" w:hAnsi="Arial" w:cs="Arial"/>
          <w:b/>
          <w:color w:val="840E41"/>
          <w:sz w:val="28"/>
          <w:szCs w:val="28"/>
        </w:rPr>
        <w:t xml:space="preserve"> Benefits:</w:t>
      </w:r>
    </w:p>
    <w:p w:rsidR="000478FC" w:rsidRPr="000478FC" w:rsidRDefault="0082283C" w:rsidP="00C23A9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 xml:space="preserve">The </w:t>
      </w:r>
      <w:proofErr w:type="spellStart"/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>MaineCare</w:t>
      </w:r>
      <w:proofErr w:type="spellEnd"/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Limited Benefit is available to males and females of all ages whose individual income is under </w:t>
      </w:r>
      <w:r w:rsidR="000855EC">
        <w:rPr>
          <w:rFonts w:ascii="Arial" w:hAnsi="Arial" w:cs="Arial"/>
          <w:color w:val="767171" w:themeColor="background2" w:themeShade="80"/>
          <w:sz w:val="24"/>
          <w:szCs w:val="24"/>
        </w:rPr>
        <w:t xml:space="preserve">$2,165/month or </w:t>
      </w:r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 xml:space="preserve">$25,979/year.  Spousal income is </w:t>
      </w:r>
      <w:r w:rsidRPr="000855EC"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  <w:t>not</w:t>
      </w:r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counted. </w:t>
      </w:r>
    </w:p>
    <w:p w:rsidR="000478FC" w:rsidRPr="000478FC" w:rsidRDefault="000478FC" w:rsidP="000478FC">
      <w:pPr>
        <w:spacing w:after="0" w:line="240" w:lineRule="auto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:rsidR="0082283C" w:rsidRPr="000478FC" w:rsidRDefault="000478FC" w:rsidP="00766FC9">
      <w:pPr>
        <w:spacing w:after="120" w:line="240" w:lineRule="auto"/>
        <w:ind w:left="360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>The benefit covers: y</w:t>
      </w:r>
      <w:r w:rsidR="0082283C" w:rsidRPr="000478FC">
        <w:rPr>
          <w:rFonts w:ascii="Arial" w:hAnsi="Arial" w:cs="Arial"/>
          <w:color w:val="767171" w:themeColor="background2" w:themeShade="80"/>
          <w:sz w:val="24"/>
          <w:szCs w:val="24"/>
        </w:rPr>
        <w:t>early physicals</w:t>
      </w:r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>, b</w:t>
      </w:r>
      <w:r w:rsidR="00DE6D51">
        <w:rPr>
          <w:rFonts w:ascii="Arial" w:hAnsi="Arial" w:cs="Arial"/>
          <w:color w:val="767171" w:themeColor="background2" w:themeShade="80"/>
          <w:sz w:val="24"/>
          <w:szCs w:val="24"/>
        </w:rPr>
        <w:t>irth control of any kind (P</w:t>
      </w:r>
      <w:r w:rsidR="0082283C" w:rsidRPr="000478FC">
        <w:rPr>
          <w:rFonts w:ascii="Arial" w:hAnsi="Arial" w:cs="Arial"/>
          <w:color w:val="767171" w:themeColor="background2" w:themeShade="80"/>
          <w:sz w:val="24"/>
          <w:szCs w:val="24"/>
        </w:rPr>
        <w:t>ill, IUD, implants, shots, etc.)</w:t>
      </w:r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 xml:space="preserve">, </w:t>
      </w:r>
      <w:r w:rsidR="0082283C" w:rsidRPr="000478FC">
        <w:rPr>
          <w:rFonts w:ascii="Arial" w:hAnsi="Arial" w:cs="Arial"/>
          <w:color w:val="767171" w:themeColor="background2" w:themeShade="80"/>
          <w:sz w:val="24"/>
          <w:szCs w:val="24"/>
        </w:rPr>
        <w:t>STI testing and treatment</w:t>
      </w:r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 xml:space="preserve">, </w:t>
      </w:r>
      <w:r w:rsidR="0082283C" w:rsidRPr="000478FC">
        <w:rPr>
          <w:rFonts w:ascii="Arial" w:hAnsi="Arial" w:cs="Arial"/>
          <w:color w:val="767171" w:themeColor="background2" w:themeShade="80"/>
          <w:sz w:val="24"/>
          <w:szCs w:val="24"/>
        </w:rPr>
        <w:t>UTI and BV testing and treatment</w:t>
      </w:r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 xml:space="preserve">, </w:t>
      </w:r>
      <w:r w:rsidR="0082283C" w:rsidRPr="000478FC">
        <w:rPr>
          <w:rFonts w:ascii="Arial" w:hAnsi="Arial" w:cs="Arial"/>
          <w:color w:val="767171" w:themeColor="background2" w:themeShade="80"/>
          <w:sz w:val="24"/>
          <w:szCs w:val="24"/>
        </w:rPr>
        <w:t>HPV vaccines</w:t>
      </w:r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>, and many o</w:t>
      </w:r>
      <w:r w:rsidR="0082283C" w:rsidRPr="000478FC">
        <w:rPr>
          <w:rFonts w:ascii="Arial" w:hAnsi="Arial" w:cs="Arial"/>
          <w:color w:val="767171" w:themeColor="background2" w:themeShade="80"/>
          <w:sz w:val="24"/>
          <w:szCs w:val="24"/>
        </w:rPr>
        <w:t>ther services related to</w:t>
      </w:r>
      <w:r w:rsidR="004061F8" w:rsidRPr="000478F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reproductive and sexual health</w:t>
      </w:r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>.</w:t>
      </w:r>
    </w:p>
    <w:p w:rsidR="0082283C" w:rsidRPr="000478FC" w:rsidRDefault="0082283C" w:rsidP="00766FC9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color w:val="767171" w:themeColor="background2" w:themeShade="80"/>
          <w:sz w:val="24"/>
          <w:szCs w:val="24"/>
        </w:rPr>
      </w:pPr>
      <w:proofErr w:type="spellStart"/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>MaineCare</w:t>
      </w:r>
      <w:proofErr w:type="spellEnd"/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Deductible/</w:t>
      </w:r>
      <w:proofErr w:type="spellStart"/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>SpendDown</w:t>
      </w:r>
      <w:proofErr w:type="spellEnd"/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is open to </w:t>
      </w:r>
      <w:r w:rsidR="000855EC">
        <w:rPr>
          <w:rFonts w:ascii="Arial" w:hAnsi="Arial" w:cs="Arial"/>
          <w:color w:val="767171" w:themeColor="background2" w:themeShade="80"/>
          <w:sz w:val="24"/>
          <w:szCs w:val="24"/>
        </w:rPr>
        <w:t>anyone</w:t>
      </w:r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who is in a </w:t>
      </w:r>
      <w:proofErr w:type="spellStart"/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>MaineCare</w:t>
      </w:r>
      <w:proofErr w:type="spellEnd"/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category </w:t>
      </w:r>
      <w:r w:rsidR="000855EC">
        <w:rPr>
          <w:rFonts w:ascii="Arial" w:hAnsi="Arial" w:cs="Arial"/>
          <w:color w:val="767171" w:themeColor="background2" w:themeShade="80"/>
          <w:sz w:val="24"/>
          <w:szCs w:val="24"/>
        </w:rPr>
        <w:t xml:space="preserve">(parents, children, </w:t>
      </w:r>
      <w:r w:rsidR="00C43AC0">
        <w:rPr>
          <w:rFonts w:ascii="Arial" w:hAnsi="Arial" w:cs="Arial"/>
          <w:color w:val="767171" w:themeColor="background2" w:themeShade="80"/>
          <w:sz w:val="24"/>
          <w:szCs w:val="24"/>
        </w:rPr>
        <w:t xml:space="preserve">disabled adults, adults 65+) </w:t>
      </w:r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 xml:space="preserve">but is over-income for </w:t>
      </w:r>
      <w:proofErr w:type="spellStart"/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>MaineCare</w:t>
      </w:r>
      <w:proofErr w:type="spellEnd"/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 xml:space="preserve">. After accumulating a certain amount on medical expenses (determined by </w:t>
      </w:r>
      <w:r w:rsidR="00DE6D51">
        <w:rPr>
          <w:rFonts w:ascii="Arial" w:hAnsi="Arial" w:cs="Arial"/>
          <w:color w:val="767171" w:themeColor="background2" w:themeShade="80"/>
          <w:sz w:val="24"/>
          <w:szCs w:val="24"/>
        </w:rPr>
        <w:t>your</w:t>
      </w:r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household income, “the deductible”), </w:t>
      </w:r>
      <w:r w:rsidR="00DE6D51">
        <w:rPr>
          <w:rFonts w:ascii="Arial" w:hAnsi="Arial" w:cs="Arial"/>
          <w:color w:val="767171" w:themeColor="background2" w:themeShade="80"/>
          <w:sz w:val="24"/>
          <w:szCs w:val="24"/>
        </w:rPr>
        <w:t xml:space="preserve">you </w:t>
      </w:r>
      <w:r w:rsidR="004061F8" w:rsidRPr="000478FC">
        <w:rPr>
          <w:rFonts w:ascii="Arial" w:hAnsi="Arial" w:cs="Arial"/>
          <w:color w:val="767171" w:themeColor="background2" w:themeShade="80"/>
          <w:sz w:val="24"/>
          <w:szCs w:val="24"/>
        </w:rPr>
        <w:t xml:space="preserve">get </w:t>
      </w:r>
      <w:proofErr w:type="spellStart"/>
      <w:r w:rsidR="004061F8" w:rsidRPr="000478FC">
        <w:rPr>
          <w:rFonts w:ascii="Arial" w:hAnsi="Arial" w:cs="Arial"/>
          <w:color w:val="767171" w:themeColor="background2" w:themeShade="80"/>
          <w:sz w:val="24"/>
          <w:szCs w:val="24"/>
        </w:rPr>
        <w:t>MaineCare</w:t>
      </w:r>
      <w:proofErr w:type="spellEnd"/>
      <w:r w:rsidR="004061F8" w:rsidRPr="000478F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for six m</w:t>
      </w:r>
      <w:bookmarkStart w:id="0" w:name="_GoBack"/>
      <w:bookmarkEnd w:id="0"/>
      <w:r w:rsidR="004061F8" w:rsidRPr="000478FC">
        <w:rPr>
          <w:rFonts w:ascii="Arial" w:hAnsi="Arial" w:cs="Arial"/>
          <w:color w:val="767171" w:themeColor="background2" w:themeShade="80"/>
          <w:sz w:val="24"/>
          <w:szCs w:val="24"/>
        </w:rPr>
        <w:t>onths.</w:t>
      </w:r>
    </w:p>
    <w:p w:rsidR="0082283C" w:rsidRPr="000478FC" w:rsidRDefault="0082283C" w:rsidP="000478F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>Medicare Savings Programs provide low-income disabled and elderly people help with their Medicare Part B and D mo</w:t>
      </w:r>
      <w:r w:rsidR="00ED7A08">
        <w:rPr>
          <w:rFonts w:ascii="Arial" w:hAnsi="Arial" w:cs="Arial"/>
          <w:color w:val="767171" w:themeColor="background2" w:themeShade="80"/>
          <w:sz w:val="24"/>
          <w:szCs w:val="24"/>
        </w:rPr>
        <w:t>nthly premiums and copays</w:t>
      </w:r>
      <w:r w:rsidRPr="000478FC">
        <w:rPr>
          <w:rFonts w:ascii="Arial" w:hAnsi="Arial" w:cs="Arial"/>
          <w:color w:val="767171" w:themeColor="background2" w:themeShade="80"/>
          <w:sz w:val="24"/>
          <w:szCs w:val="24"/>
        </w:rPr>
        <w:t>.</w:t>
      </w:r>
    </w:p>
    <w:p w:rsidR="004061F8" w:rsidRPr="000478FC" w:rsidRDefault="004061F8" w:rsidP="00C23A90">
      <w:pPr>
        <w:spacing w:after="0" w:line="240" w:lineRule="auto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:rsidR="0082283C" w:rsidRPr="00C23A90" w:rsidRDefault="000478FC" w:rsidP="00C23A90">
      <w:pPr>
        <w:spacing w:after="0" w:line="240" w:lineRule="auto"/>
        <w:rPr>
          <w:rFonts w:ascii="Arial" w:hAnsi="Arial" w:cs="Arial"/>
          <w:b/>
          <w:color w:val="840E41"/>
          <w:sz w:val="28"/>
          <w:szCs w:val="28"/>
        </w:rPr>
      </w:pPr>
      <w:r>
        <w:rPr>
          <w:rFonts w:ascii="Arial" w:hAnsi="Arial" w:cs="Arial"/>
          <w:b/>
          <w:color w:val="840E41"/>
          <w:sz w:val="28"/>
          <w:szCs w:val="28"/>
        </w:rPr>
        <w:t xml:space="preserve">We offer </w:t>
      </w:r>
      <w:r w:rsidR="00891BDF">
        <w:rPr>
          <w:rFonts w:ascii="Arial" w:hAnsi="Arial" w:cs="Arial"/>
          <w:b/>
          <w:color w:val="840E41"/>
          <w:sz w:val="28"/>
          <w:szCs w:val="28"/>
        </w:rPr>
        <w:t>in-person</w:t>
      </w:r>
      <w:r>
        <w:rPr>
          <w:rFonts w:ascii="Arial" w:hAnsi="Arial" w:cs="Arial"/>
          <w:b/>
          <w:color w:val="840E41"/>
          <w:sz w:val="28"/>
          <w:szCs w:val="28"/>
        </w:rPr>
        <w:t xml:space="preserve"> counselling for the </w:t>
      </w:r>
      <w:r w:rsidR="0082283C" w:rsidRPr="00C23A90">
        <w:rPr>
          <w:rFonts w:ascii="Arial" w:hAnsi="Arial" w:cs="Arial"/>
          <w:b/>
          <w:color w:val="840E41"/>
          <w:sz w:val="28"/>
          <w:szCs w:val="28"/>
        </w:rPr>
        <w:t>Health Insurance Marketplace</w:t>
      </w:r>
    </w:p>
    <w:p w:rsidR="0082283C" w:rsidRDefault="0082283C" w:rsidP="00C23A90">
      <w:pPr>
        <w:spacing w:after="0" w:line="240" w:lineRule="auto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891BDF">
        <w:rPr>
          <w:rFonts w:ascii="Arial" w:hAnsi="Arial" w:cs="Arial"/>
          <w:color w:val="767171" w:themeColor="background2" w:themeShade="80"/>
          <w:sz w:val="24"/>
          <w:szCs w:val="24"/>
        </w:rPr>
        <w:t>We have Certified Application Counselors who help people apply &amp; enroll in health insurance through the Health</w:t>
      </w:r>
      <w:r w:rsidR="00891BDF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Pr="00891BDF">
        <w:rPr>
          <w:rFonts w:ascii="Arial" w:hAnsi="Arial" w:cs="Arial"/>
          <w:color w:val="767171" w:themeColor="background2" w:themeShade="80"/>
          <w:sz w:val="24"/>
          <w:szCs w:val="24"/>
        </w:rPr>
        <w:t>Insurance Marketplace/Affordable Care Act (ACA).</w:t>
      </w:r>
    </w:p>
    <w:p w:rsidR="00891BDF" w:rsidRPr="00891BDF" w:rsidRDefault="00891BDF" w:rsidP="00C23A90">
      <w:pPr>
        <w:spacing w:after="0" w:line="240" w:lineRule="auto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:rsidR="0082283C" w:rsidRPr="00891BDF" w:rsidRDefault="0082283C" w:rsidP="00891BD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891BDF">
        <w:rPr>
          <w:rFonts w:ascii="Arial" w:hAnsi="Arial" w:cs="Arial"/>
          <w:color w:val="767171" w:themeColor="background2" w:themeShade="80"/>
          <w:sz w:val="24"/>
          <w:szCs w:val="24"/>
        </w:rPr>
        <w:t>Open Enrollment is from November 1 to December 15 each year. 85% of Mainers receive financial assistanc</w:t>
      </w:r>
      <w:r w:rsidR="004061F8" w:rsidRPr="00891BDF">
        <w:rPr>
          <w:rFonts w:ascii="Arial" w:hAnsi="Arial" w:cs="Arial"/>
          <w:color w:val="767171" w:themeColor="background2" w:themeShade="80"/>
          <w:sz w:val="24"/>
          <w:szCs w:val="24"/>
        </w:rPr>
        <w:t>e to make the plans affordable.</w:t>
      </w:r>
    </w:p>
    <w:p w:rsidR="004061F8" w:rsidRPr="00C23A90" w:rsidRDefault="004061F8" w:rsidP="00C23A90">
      <w:pPr>
        <w:spacing w:after="0" w:line="240" w:lineRule="auto"/>
        <w:rPr>
          <w:rFonts w:ascii="Arial" w:hAnsi="Arial" w:cs="Arial"/>
          <w:color w:val="767171" w:themeColor="background2" w:themeShade="80"/>
          <w:sz w:val="28"/>
          <w:szCs w:val="28"/>
        </w:rPr>
      </w:pPr>
    </w:p>
    <w:p w:rsidR="0082283C" w:rsidRPr="00C23A90" w:rsidRDefault="0082283C" w:rsidP="00C23A90">
      <w:pPr>
        <w:spacing w:after="0" w:line="240" w:lineRule="auto"/>
        <w:rPr>
          <w:rFonts w:ascii="Arial" w:hAnsi="Arial" w:cs="Arial"/>
          <w:b/>
          <w:color w:val="840E41"/>
          <w:sz w:val="28"/>
          <w:szCs w:val="28"/>
        </w:rPr>
      </w:pPr>
      <w:r w:rsidRPr="00C23A90">
        <w:rPr>
          <w:rFonts w:ascii="Arial" w:hAnsi="Arial" w:cs="Arial"/>
          <w:b/>
          <w:color w:val="840E41"/>
          <w:sz w:val="28"/>
          <w:szCs w:val="28"/>
        </w:rPr>
        <w:t>Where do I go for more information?</w:t>
      </w:r>
    </w:p>
    <w:p w:rsidR="00EC72F4" w:rsidRPr="00C23A90" w:rsidRDefault="0082283C" w:rsidP="00766FC9">
      <w:pPr>
        <w:spacing w:after="0" w:line="240" w:lineRule="auto"/>
        <w:rPr>
          <w:rFonts w:ascii="Arial" w:hAnsi="Arial" w:cs="Arial"/>
          <w:color w:val="767171" w:themeColor="background2" w:themeShade="80"/>
          <w:sz w:val="28"/>
          <w:szCs w:val="28"/>
        </w:rPr>
      </w:pPr>
      <w:r w:rsidRPr="00891BDF">
        <w:rPr>
          <w:rFonts w:ascii="Arial" w:hAnsi="Arial" w:cs="Arial"/>
          <w:color w:val="767171" w:themeColor="background2" w:themeShade="80"/>
          <w:sz w:val="24"/>
          <w:szCs w:val="24"/>
        </w:rPr>
        <w:t>Reach us</w:t>
      </w:r>
      <w:r w:rsidR="00DE6D51">
        <w:rPr>
          <w:rFonts w:ascii="Arial" w:hAnsi="Arial" w:cs="Arial"/>
          <w:color w:val="767171" w:themeColor="background2" w:themeShade="80"/>
          <w:sz w:val="24"/>
          <w:szCs w:val="24"/>
        </w:rPr>
        <w:t xml:space="preserve"> at 662-7000 or</w:t>
      </w:r>
      <w:r w:rsidRPr="00891BDF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="00DE6D51" w:rsidRPr="00891BDF">
        <w:rPr>
          <w:rFonts w:ascii="Arial" w:hAnsi="Arial" w:cs="Arial"/>
          <w:color w:val="767171" w:themeColor="background2" w:themeShade="80"/>
          <w:sz w:val="24"/>
          <w:szCs w:val="24"/>
        </w:rPr>
        <w:t>1-833-284-8816</w:t>
      </w:r>
      <w:r w:rsidR="00DE6D51">
        <w:rPr>
          <w:rFonts w:ascii="Arial" w:hAnsi="Arial" w:cs="Arial"/>
          <w:color w:val="767171" w:themeColor="background2" w:themeShade="80"/>
          <w:sz w:val="24"/>
          <w:szCs w:val="24"/>
        </w:rPr>
        <w:t xml:space="preserve">, or </w:t>
      </w:r>
      <w:r w:rsidRPr="00891BDF">
        <w:rPr>
          <w:rFonts w:ascii="Arial" w:hAnsi="Arial" w:cs="Arial"/>
          <w:color w:val="767171" w:themeColor="background2" w:themeShade="80"/>
          <w:sz w:val="24"/>
          <w:szCs w:val="24"/>
        </w:rPr>
        <w:t xml:space="preserve">email </w:t>
      </w:r>
      <w:hyperlink r:id="rId11" w:history="1">
        <w:r w:rsidR="00DE6D51" w:rsidRPr="00264D89">
          <w:rPr>
            <w:rStyle w:val="Hyperlink"/>
            <w:rFonts w:ascii="Arial" w:hAnsi="Arial" w:cs="Arial"/>
            <w:sz w:val="24"/>
            <w:szCs w:val="24"/>
          </w:rPr>
          <w:t>getcoverage@mainehealth.org</w:t>
        </w:r>
      </w:hyperlink>
      <w:r w:rsidRPr="00891BDF">
        <w:rPr>
          <w:rFonts w:ascii="Arial" w:hAnsi="Arial" w:cs="Arial"/>
          <w:color w:val="767171" w:themeColor="background2" w:themeShade="80"/>
          <w:sz w:val="24"/>
          <w:szCs w:val="24"/>
        </w:rPr>
        <w:t>.</w:t>
      </w:r>
      <w:r w:rsidR="00DE6D51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="00DE6D51" w:rsidRPr="00891BDF">
        <w:rPr>
          <w:rFonts w:ascii="Arial" w:hAnsi="Arial" w:cs="Arial"/>
          <w:color w:val="767171" w:themeColor="background2" w:themeShade="80"/>
          <w:sz w:val="24"/>
          <w:szCs w:val="24"/>
        </w:rPr>
        <w:t>The Coverage Team serves the entire MaineHealth system.</w:t>
      </w:r>
    </w:p>
    <w:sectPr w:rsidR="00EC72F4" w:rsidRPr="00C23A90" w:rsidSect="000478FC">
      <w:headerReference w:type="default" r:id="rId12"/>
      <w:footerReference w:type="default" r:id="rId13"/>
      <w:pgSz w:w="12240" w:h="15840"/>
      <w:pgMar w:top="1008" w:right="864" w:bottom="720" w:left="864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A01" w:rsidRDefault="00433A01" w:rsidP="0096302B">
      <w:pPr>
        <w:spacing w:after="0" w:line="240" w:lineRule="auto"/>
      </w:pPr>
      <w:r>
        <w:separator/>
      </w:r>
    </w:p>
  </w:endnote>
  <w:endnote w:type="continuationSeparator" w:id="0">
    <w:p w:rsidR="00433A01" w:rsidRDefault="00433A01" w:rsidP="0096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3C" w:rsidRDefault="0082283C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9071948</wp:posOffset>
          </wp:positionV>
          <wp:extent cx="7772400" cy="984547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845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283C" w:rsidRDefault="00822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A01" w:rsidRDefault="00433A01" w:rsidP="0096302B">
      <w:pPr>
        <w:spacing w:after="0" w:line="240" w:lineRule="auto"/>
      </w:pPr>
      <w:r>
        <w:separator/>
      </w:r>
    </w:p>
  </w:footnote>
  <w:footnote w:type="continuationSeparator" w:id="0">
    <w:p w:rsidR="00433A01" w:rsidRDefault="00433A01" w:rsidP="0096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2B" w:rsidRDefault="0096302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-2381250</wp:posOffset>
          </wp:positionH>
          <wp:positionV relativeFrom="page">
            <wp:posOffset>-133350</wp:posOffset>
          </wp:positionV>
          <wp:extent cx="10059035" cy="621665"/>
          <wp:effectExtent l="0" t="0" r="0" b="698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03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302B" w:rsidRDefault="00963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22E7"/>
    <w:multiLevelType w:val="hybridMultilevel"/>
    <w:tmpl w:val="4094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15D34"/>
    <w:multiLevelType w:val="hybridMultilevel"/>
    <w:tmpl w:val="5B02B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851DC"/>
    <w:multiLevelType w:val="hybridMultilevel"/>
    <w:tmpl w:val="EE4A3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42715"/>
    <w:multiLevelType w:val="hybridMultilevel"/>
    <w:tmpl w:val="08D8801E"/>
    <w:lvl w:ilvl="0" w:tplc="EA4A9B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848CA"/>
    <w:multiLevelType w:val="hybridMultilevel"/>
    <w:tmpl w:val="C5025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2B"/>
    <w:rsid w:val="000478FC"/>
    <w:rsid w:val="000855EC"/>
    <w:rsid w:val="002854CE"/>
    <w:rsid w:val="004061F8"/>
    <w:rsid w:val="0040698A"/>
    <w:rsid w:val="00433A01"/>
    <w:rsid w:val="00537EB8"/>
    <w:rsid w:val="00547F59"/>
    <w:rsid w:val="005B19BA"/>
    <w:rsid w:val="00766FC9"/>
    <w:rsid w:val="0078225C"/>
    <w:rsid w:val="007E7E99"/>
    <w:rsid w:val="0082283C"/>
    <w:rsid w:val="00862C27"/>
    <w:rsid w:val="00891BDF"/>
    <w:rsid w:val="008E654F"/>
    <w:rsid w:val="0096302B"/>
    <w:rsid w:val="00A56FC9"/>
    <w:rsid w:val="00B477A1"/>
    <w:rsid w:val="00C23A90"/>
    <w:rsid w:val="00C43AC0"/>
    <w:rsid w:val="00CB143F"/>
    <w:rsid w:val="00D91B78"/>
    <w:rsid w:val="00DD3210"/>
    <w:rsid w:val="00DE6D51"/>
    <w:rsid w:val="00E119AB"/>
    <w:rsid w:val="00E8257F"/>
    <w:rsid w:val="00EC72F4"/>
    <w:rsid w:val="00ED7A08"/>
    <w:rsid w:val="00F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AE9603"/>
  <w15:chartTrackingRefBased/>
  <w15:docId w15:val="{C25B88DA-86C5-46BC-85A1-EDD6A3A8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2B"/>
  </w:style>
  <w:style w:type="paragraph" w:styleId="Footer">
    <w:name w:val="footer"/>
    <w:basedOn w:val="Normal"/>
    <w:link w:val="FooterChar"/>
    <w:uiPriority w:val="99"/>
    <w:unhideWhenUsed/>
    <w:rsid w:val="0096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2B"/>
  </w:style>
  <w:style w:type="character" w:styleId="CommentReference">
    <w:name w:val="annotation reference"/>
    <w:basedOn w:val="DefaultParagraphFont"/>
    <w:uiPriority w:val="99"/>
    <w:semiHidden/>
    <w:unhideWhenUsed/>
    <w:rsid w:val="00B47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7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1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D5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tcoverage@mainehealth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DF30-0E4B-428A-9C20-AC2430FA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McCaela N. Prentice</dc:creator>
  <cp:keywords/>
  <dc:description/>
  <cp:lastModifiedBy>Kathy Pipkin</cp:lastModifiedBy>
  <cp:revision>20</cp:revision>
  <dcterms:created xsi:type="dcterms:W3CDTF">2018-06-27T18:06:00Z</dcterms:created>
  <dcterms:modified xsi:type="dcterms:W3CDTF">2018-07-03T12:40:00Z</dcterms:modified>
</cp:coreProperties>
</file>